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6E24DB1">
      <w:pPr>
        <w:pStyle w:val="2"/>
        <w:rPr>
          <w:rFonts w:hint="eastAsia"/>
        </w:rPr>
      </w:pPr>
      <w:r>
        <w:rPr>
          <w:rFonts w:hint="eastAsia"/>
        </w:rPr>
        <w:t>综合测评操作手册-</w:t>
      </w:r>
      <w:r>
        <w:rPr>
          <w:rFonts w:hint="eastAsia"/>
          <w:lang w:val="en-US" w:eastAsia="zh-CN"/>
        </w:rPr>
        <w:t>艺术</w:t>
      </w:r>
      <w:r>
        <w:rPr>
          <w:rFonts w:hint="eastAsia"/>
          <w:lang w:eastAsia="zh-CN"/>
        </w:rPr>
        <w:t>学院</w:t>
      </w:r>
      <w:r>
        <w:rPr>
          <w:rFonts w:hint="eastAsia"/>
        </w:rPr>
        <w:t>班主任</w:t>
      </w:r>
    </w:p>
    <w:p w14:paraId="40F2AE74">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 w:hAnsi="仿宋" w:eastAsia="仿宋" w:cs="仿宋"/>
          <w:color w:val="FF0000"/>
          <w:sz w:val="28"/>
          <w:szCs w:val="28"/>
          <w:lang w:val="en-US" w:eastAsia="zh-CN"/>
        </w:rPr>
      </w:pPr>
      <w:r>
        <w:rPr>
          <w:rFonts w:hint="default" w:ascii="仿宋" w:hAnsi="仿宋" w:eastAsia="仿宋" w:cs="仿宋"/>
          <w:color w:val="FF0000"/>
          <w:sz w:val="28"/>
          <w:szCs w:val="28"/>
          <w:lang w:eastAsia="zh-CN"/>
        </w:rPr>
        <w:t>202</w:t>
      </w:r>
      <w:r>
        <w:rPr>
          <w:rFonts w:hint="eastAsia" w:ascii="仿宋" w:hAnsi="仿宋" w:eastAsia="仿宋" w:cs="仿宋"/>
          <w:color w:val="FF0000"/>
          <w:sz w:val="28"/>
          <w:szCs w:val="28"/>
          <w:lang w:val="en-US" w:eastAsia="zh-CN"/>
        </w:rPr>
        <w:t>5届本科毕业生综测班主任操作时间轴（两大任务）：</w:t>
      </w:r>
    </w:p>
    <w:p w14:paraId="698C03E6">
      <w:pPr>
        <w:keepNext w:val="0"/>
        <w:keepLines w:val="0"/>
        <w:pageBreakBefore w:val="0"/>
        <w:widowControl w:val="0"/>
        <w:numPr>
          <w:ilvl w:val="0"/>
          <w:numId w:val="1"/>
        </w:numPr>
        <w:kinsoku/>
        <w:wordWrap/>
        <w:overflowPunct/>
        <w:topLinePunct w:val="0"/>
        <w:autoSpaceDE/>
        <w:autoSpaceDN/>
        <w:bidi w:val="0"/>
        <w:adjustRightInd/>
        <w:snapToGrid/>
        <w:spacing w:line="360" w:lineRule="auto"/>
        <w:ind w:firstLine="422" w:firstLineChars="200"/>
        <w:textAlignment w:val="auto"/>
        <w:rPr>
          <w:rFonts w:hint="eastAsia" w:ascii="仿宋" w:hAnsi="仿宋" w:eastAsia="仿宋" w:cs="仿宋"/>
          <w:b/>
          <w:bCs/>
          <w:lang w:val="en-US" w:eastAsia="zh-CN"/>
        </w:rPr>
      </w:pPr>
      <w:r>
        <w:rPr>
          <w:rFonts w:hint="eastAsia" w:ascii="仿宋" w:hAnsi="仿宋" w:eastAsia="仿宋" w:cs="仿宋"/>
          <w:b/>
          <w:bCs/>
          <w:lang w:val="en-US" w:eastAsia="zh-CN"/>
        </w:rPr>
        <w:t>3月19-21日   使用班主任账号登录综测系统将班内互评时间设置为：2025年3月19日00:00——2025年4月17日24:00</w:t>
      </w:r>
    </w:p>
    <w:p w14:paraId="36992D9A">
      <w:pPr>
        <w:keepNext w:val="0"/>
        <w:keepLines w:val="0"/>
        <w:pageBreakBefore w:val="0"/>
        <w:widowControl w:val="0"/>
        <w:numPr>
          <w:ilvl w:val="0"/>
          <w:numId w:val="1"/>
        </w:numPr>
        <w:kinsoku/>
        <w:wordWrap/>
        <w:overflowPunct/>
        <w:topLinePunct w:val="0"/>
        <w:autoSpaceDE/>
        <w:autoSpaceDN/>
        <w:bidi w:val="0"/>
        <w:adjustRightInd/>
        <w:snapToGrid/>
        <w:spacing w:line="360" w:lineRule="auto"/>
        <w:ind w:firstLine="422" w:firstLineChars="200"/>
        <w:textAlignment w:val="auto"/>
        <w:rPr>
          <w:rFonts w:hint="eastAsia" w:ascii="仿宋" w:hAnsi="仿宋" w:eastAsia="仿宋" w:cs="仿宋"/>
          <w:b/>
          <w:bCs/>
          <w:lang w:val="en-US" w:eastAsia="zh-CN"/>
        </w:rPr>
      </w:pPr>
      <w:r>
        <w:rPr>
          <w:rFonts w:hint="eastAsia" w:ascii="仿宋" w:hAnsi="仿宋" w:eastAsia="仿宋" w:cs="仿宋"/>
          <w:b/>
          <w:bCs/>
          <w:lang w:val="en-US" w:eastAsia="zh-CN"/>
        </w:rPr>
        <w:t>4月</w:t>
      </w:r>
      <w:r>
        <w:rPr>
          <w:rFonts w:hint="default" w:ascii="仿宋" w:hAnsi="仿宋" w:eastAsia="仿宋" w:cs="仿宋"/>
          <w:b/>
          <w:bCs/>
          <w:lang w:eastAsia="zh-CN"/>
        </w:rPr>
        <w:t>1</w:t>
      </w:r>
      <w:r>
        <w:rPr>
          <w:rFonts w:hint="eastAsia" w:ascii="仿宋" w:hAnsi="仿宋" w:eastAsia="仿宋" w:cs="仿宋"/>
          <w:b/>
          <w:bCs/>
          <w:lang w:val="en-US" w:eastAsia="zh-CN"/>
        </w:rPr>
        <w:t>-</w:t>
      </w:r>
      <w:r>
        <w:rPr>
          <w:rFonts w:hint="default" w:ascii="仿宋" w:hAnsi="仿宋" w:eastAsia="仿宋" w:cs="仿宋"/>
          <w:b/>
          <w:bCs/>
          <w:lang w:eastAsia="zh-CN"/>
        </w:rPr>
        <w:t>6</w:t>
      </w:r>
      <w:r>
        <w:rPr>
          <w:rFonts w:hint="eastAsia" w:ascii="仿宋" w:hAnsi="仿宋" w:eastAsia="仿宋" w:cs="仿宋"/>
          <w:b/>
          <w:bCs/>
          <w:lang w:val="en-US" w:eastAsia="zh-CN"/>
        </w:rPr>
        <w:t>日   使用班主任账号登录综测系统，提交全班综测数据到年级审核。（操作此步骤的前提是全班同学都已经完成自评和互评并在系统上提交）</w:t>
      </w:r>
    </w:p>
    <w:p w14:paraId="1B2A2DA1">
      <w:pPr>
        <w:numPr>
          <w:ilvl w:val="0"/>
          <w:numId w:val="0"/>
        </w:numPr>
        <w:rPr>
          <w:rFonts w:hint="eastAsia" w:eastAsiaTheme="minorEastAsia"/>
          <w:b/>
          <w:bCs/>
          <w:color w:val="auto"/>
          <w:sz w:val="36"/>
          <w:szCs w:val="36"/>
          <w:lang w:val="en-US" w:eastAsia="zh-CN"/>
        </w:rPr>
      </w:pPr>
      <w:r>
        <w:rPr>
          <w:rFonts w:hint="eastAsia"/>
          <w:b/>
          <w:bCs/>
          <w:color w:val="auto"/>
          <w:sz w:val="36"/>
          <w:szCs w:val="36"/>
          <w:lang w:val="en-US" w:eastAsia="zh-CN"/>
        </w:rPr>
        <w:t>以下为具体操作示例：</w:t>
      </w:r>
    </w:p>
    <w:p w14:paraId="798590FB">
      <w:pPr>
        <w:pStyle w:val="3"/>
      </w:pPr>
      <w:r>
        <w:rPr>
          <w:rFonts w:hint="eastAsia"/>
        </w:rPr>
        <w:t>一、登陆系统</w:t>
      </w:r>
    </w:p>
    <w:p w14:paraId="5D98AD09">
      <w:r>
        <w:rPr>
          <w:rFonts w:hint="eastAsia"/>
        </w:rPr>
        <w:t>访问地址：</w:t>
      </w:r>
      <w:r>
        <w:fldChar w:fldCharType="begin"/>
      </w:r>
      <w:r>
        <w:instrText xml:space="preserve"> HYPERLINK "http://222.201.224.32/xgdw" </w:instrText>
      </w:r>
      <w:r>
        <w:fldChar w:fldCharType="separate"/>
      </w:r>
      <w:r>
        <w:t>http://xgxt.scau.edu.cn</w:t>
      </w:r>
      <w:r>
        <w:fldChar w:fldCharType="end"/>
      </w:r>
      <w:r>
        <w:t xml:space="preserve"> </w:t>
      </w:r>
    </w:p>
    <w:p w14:paraId="016FA906">
      <w:r>
        <w:rPr>
          <w:rFonts w:hint="eastAsia"/>
        </w:rPr>
        <w:t>（找到学工队伍功能模块，点击前往进入系统--设置职务）</w:t>
      </w:r>
    </w:p>
    <w:p w14:paraId="47D8EFCE">
      <w:pPr>
        <w:rPr>
          <w:rFonts w:hint="eastAsia"/>
        </w:rPr>
      </w:pPr>
      <w:r>
        <w:rPr>
          <w:rFonts w:hint="eastAsia"/>
        </w:rPr>
        <w:t>账号：老师自己的工号</w:t>
      </w:r>
    </w:p>
    <w:p w14:paraId="5E3619F7">
      <w:r>
        <w:rPr>
          <w:rFonts w:hint="eastAsia"/>
        </w:rPr>
        <w:t>密码：Scau@身份证后六位</w:t>
      </w:r>
    </w:p>
    <w:p w14:paraId="3FD8F6F0">
      <w:pPr>
        <w:rPr>
          <w:rFonts w:hint="eastAsia"/>
        </w:rPr>
      </w:pPr>
    </w:p>
    <w:p w14:paraId="7CAA9058">
      <w:pPr>
        <w:rPr>
          <w:rFonts w:hint="eastAsia"/>
        </w:rPr>
      </w:pPr>
      <w:r>
        <w:drawing>
          <wp:inline distT="0" distB="0" distL="0" distR="0">
            <wp:extent cx="3928110" cy="214249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4"/>
                    <a:stretch>
                      <a:fillRect/>
                    </a:stretch>
                  </pic:blipFill>
                  <pic:spPr>
                    <a:xfrm>
                      <a:off x="0" y="0"/>
                      <a:ext cx="3937006" cy="2147199"/>
                    </a:xfrm>
                    <a:prstGeom prst="rect">
                      <a:avLst/>
                    </a:prstGeom>
                  </pic:spPr>
                </pic:pic>
              </a:graphicData>
            </a:graphic>
          </wp:inline>
        </w:drawing>
      </w:r>
    </w:p>
    <w:p w14:paraId="46857943"/>
    <w:p w14:paraId="73B90041">
      <w:r>
        <w:rPr>
          <w:rFonts w:hint="eastAsia"/>
        </w:rPr>
        <w:t>综测系统访问地址：</w:t>
      </w:r>
      <w:r>
        <w:fldChar w:fldCharType="begin"/>
      </w:r>
      <w:r>
        <w:instrText xml:space="preserve"> HYPERLINK "http://xgxt.scau.edu.cn" </w:instrText>
      </w:r>
      <w:r>
        <w:fldChar w:fldCharType="separate"/>
      </w:r>
      <w:r>
        <w:rPr>
          <w:rStyle w:val="8"/>
          <w:rFonts w:hint="eastAsia"/>
        </w:rPr>
        <w:t>htt</w:t>
      </w:r>
      <w:r>
        <w:rPr>
          <w:rStyle w:val="8"/>
        </w:rPr>
        <w:t>p://xgxt.scau.edu.cn</w:t>
      </w:r>
      <w:r>
        <w:rPr>
          <w:rStyle w:val="8"/>
        </w:rPr>
        <w:fldChar w:fldCharType="end"/>
      </w:r>
    </w:p>
    <w:p w14:paraId="5EC51A31">
      <w:pPr>
        <w:rPr>
          <w:rFonts w:hint="eastAsia"/>
        </w:rPr>
      </w:pPr>
      <w:r>
        <w:rPr>
          <w:rFonts w:hint="eastAsia"/>
        </w:rPr>
        <w:t>账号：老师自己的工号</w:t>
      </w:r>
    </w:p>
    <w:p w14:paraId="43A4D6D4">
      <w:r>
        <w:rPr>
          <w:rFonts w:hint="eastAsia"/>
        </w:rPr>
        <w:t>密码：Scau@身份证后六位</w:t>
      </w:r>
    </w:p>
    <w:p w14:paraId="2D909710"/>
    <w:p w14:paraId="3498676E">
      <w:r>
        <w:rPr>
          <w:rFonts w:hint="eastAsia"/>
        </w:rPr>
        <w:t>登陆后，在事务中心-事务大厅，找到综合测评功能模块，点击前往，跳转进入系统；</w:t>
      </w:r>
    </w:p>
    <w:p w14:paraId="3115C32E">
      <w:r>
        <w:drawing>
          <wp:inline distT="0" distB="0" distL="0" distR="0">
            <wp:extent cx="4544695" cy="2924810"/>
            <wp:effectExtent l="0" t="0" r="8255" b="889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5"/>
                    <a:stretch>
                      <a:fillRect/>
                    </a:stretch>
                  </pic:blipFill>
                  <pic:spPr>
                    <a:xfrm>
                      <a:off x="0" y="0"/>
                      <a:ext cx="4547823" cy="2927120"/>
                    </a:xfrm>
                    <a:prstGeom prst="rect">
                      <a:avLst/>
                    </a:prstGeom>
                  </pic:spPr>
                </pic:pic>
              </a:graphicData>
            </a:graphic>
          </wp:inline>
        </w:drawing>
      </w:r>
    </w:p>
    <w:p w14:paraId="07053DE7">
      <w:pPr>
        <w:pStyle w:val="3"/>
        <w:rPr>
          <w:rFonts w:eastAsia="宋体"/>
        </w:rPr>
      </w:pPr>
      <w:r>
        <w:rPr>
          <w:rFonts w:hint="eastAsia"/>
        </w:rPr>
        <w:t>二、</w:t>
      </w:r>
      <w:r>
        <w:rPr>
          <w:rFonts w:hint="eastAsia" w:eastAsia="宋体"/>
        </w:rPr>
        <w:t>开启自己班级的综合测评互评工作</w:t>
      </w:r>
    </w:p>
    <w:p w14:paraId="3DC888B1">
      <w:r>
        <w:rPr>
          <w:rFonts w:hint="eastAsia"/>
        </w:rPr>
        <w:t>登陆访问地址：htt</w:t>
      </w:r>
      <w:r>
        <w:t>p://xgxt.scau.edu.cn/zhcp</w:t>
      </w:r>
      <w:r>
        <w:rPr>
          <w:rFonts w:hint="eastAsia"/>
        </w:rPr>
        <w:t>（综合测评能模块</w:t>
      </w:r>
      <w:r>
        <w:rPr>
          <w:rFonts w:hint="eastAsia"/>
          <w:lang w:eastAsia="zh-CN"/>
        </w:rPr>
        <w:t>）</w:t>
      </w:r>
      <w:r>
        <w:rPr>
          <w:rFonts w:hint="eastAsia"/>
        </w:rPr>
        <w:t>如下图所示：</w:t>
      </w:r>
    </w:p>
    <w:p w14:paraId="6123A229">
      <w:r>
        <w:drawing>
          <wp:inline distT="0" distB="0" distL="114300" distR="114300">
            <wp:extent cx="5266690" cy="2677160"/>
            <wp:effectExtent l="0" t="0" r="10160" b="889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6"/>
                    <a:stretch>
                      <a:fillRect/>
                    </a:stretch>
                  </pic:blipFill>
                  <pic:spPr>
                    <a:xfrm>
                      <a:off x="0" y="0"/>
                      <a:ext cx="5266690" cy="2677160"/>
                    </a:xfrm>
                    <a:prstGeom prst="rect">
                      <a:avLst/>
                    </a:prstGeom>
                    <a:noFill/>
                    <a:ln>
                      <a:noFill/>
                    </a:ln>
                  </pic:spPr>
                </pic:pic>
              </a:graphicData>
            </a:graphic>
          </wp:inline>
        </w:drawing>
      </w:r>
    </w:p>
    <w:p w14:paraId="196428A1"/>
    <w:p w14:paraId="41661383"/>
    <w:p w14:paraId="74EFC100"/>
    <w:p w14:paraId="4E53040E"/>
    <w:p w14:paraId="10335682"/>
    <w:p w14:paraId="1A68289B"/>
    <w:p w14:paraId="7BD17190">
      <w:r>
        <w:drawing>
          <wp:inline distT="0" distB="0" distL="114300" distR="114300">
            <wp:extent cx="5269865" cy="1539240"/>
            <wp:effectExtent l="0" t="0" r="3175"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7"/>
                    <a:stretch>
                      <a:fillRect/>
                    </a:stretch>
                  </pic:blipFill>
                  <pic:spPr>
                    <a:xfrm>
                      <a:off x="0" y="0"/>
                      <a:ext cx="5269865" cy="1539240"/>
                    </a:xfrm>
                    <a:prstGeom prst="rect">
                      <a:avLst/>
                    </a:prstGeom>
                    <a:noFill/>
                    <a:ln>
                      <a:noFill/>
                    </a:ln>
                  </pic:spPr>
                </pic:pic>
              </a:graphicData>
            </a:graphic>
          </wp:inline>
        </w:drawing>
      </w:r>
    </w:p>
    <w:p w14:paraId="0F685569"/>
    <w:p w14:paraId="46412347"/>
    <w:p w14:paraId="587FFC35">
      <w:bookmarkStart w:id="0" w:name="_GoBack"/>
      <w:bookmarkEnd w:id="0"/>
      <w:r>
        <w:drawing>
          <wp:inline distT="0" distB="0" distL="114300" distR="114300">
            <wp:extent cx="5273675" cy="2866390"/>
            <wp:effectExtent l="0" t="0" r="14605" b="1397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8"/>
                    <a:stretch>
                      <a:fillRect/>
                    </a:stretch>
                  </pic:blipFill>
                  <pic:spPr>
                    <a:xfrm>
                      <a:off x="0" y="0"/>
                      <a:ext cx="5273675" cy="2866390"/>
                    </a:xfrm>
                    <a:prstGeom prst="rect">
                      <a:avLst/>
                    </a:prstGeom>
                    <a:noFill/>
                    <a:ln>
                      <a:noFill/>
                    </a:ln>
                  </pic:spPr>
                </pic:pic>
              </a:graphicData>
            </a:graphic>
          </wp:inline>
        </w:drawing>
      </w:r>
    </w:p>
    <w:p w14:paraId="0BDC15EE">
      <w:r>
        <w:drawing>
          <wp:inline distT="0" distB="0" distL="114300" distR="114300">
            <wp:extent cx="5267960" cy="2576830"/>
            <wp:effectExtent l="0" t="0" r="5080" b="1397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9"/>
                    <a:stretch>
                      <a:fillRect/>
                    </a:stretch>
                  </pic:blipFill>
                  <pic:spPr>
                    <a:xfrm>
                      <a:off x="0" y="0"/>
                      <a:ext cx="5267960" cy="2576830"/>
                    </a:xfrm>
                    <a:prstGeom prst="rect">
                      <a:avLst/>
                    </a:prstGeom>
                    <a:noFill/>
                    <a:ln>
                      <a:noFill/>
                    </a:ln>
                  </pic:spPr>
                </pic:pic>
              </a:graphicData>
            </a:graphic>
          </wp:inline>
        </w:drawing>
      </w:r>
    </w:p>
    <w:p w14:paraId="5CFD2853"/>
    <w:p w14:paraId="5931C7BD">
      <w:r>
        <w:rPr>
          <w:rFonts w:hint="eastAsia"/>
        </w:rPr>
        <w:t>设置互评成功的界面如下图所示：</w:t>
      </w:r>
    </w:p>
    <w:p w14:paraId="361C1CD6">
      <w:r>
        <w:drawing>
          <wp:inline distT="0" distB="0" distL="114300" distR="114300">
            <wp:extent cx="5271770" cy="2192655"/>
            <wp:effectExtent l="0" t="0" r="1270" b="190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0"/>
                    <a:stretch>
                      <a:fillRect/>
                    </a:stretch>
                  </pic:blipFill>
                  <pic:spPr>
                    <a:xfrm>
                      <a:off x="0" y="0"/>
                      <a:ext cx="5271770" cy="2192655"/>
                    </a:xfrm>
                    <a:prstGeom prst="rect">
                      <a:avLst/>
                    </a:prstGeom>
                    <a:noFill/>
                    <a:ln>
                      <a:noFill/>
                    </a:ln>
                  </pic:spPr>
                </pic:pic>
              </a:graphicData>
            </a:graphic>
          </wp:inline>
        </w:drawing>
      </w:r>
    </w:p>
    <w:p w14:paraId="58EB20C4"/>
    <w:p w14:paraId="5A70B1FD"/>
    <w:p w14:paraId="528B0111">
      <w:pPr>
        <w:pStyle w:val="3"/>
      </w:pPr>
      <w:r>
        <w:rPr>
          <w:rFonts w:hint="eastAsia"/>
        </w:rPr>
        <w:t>三、</w:t>
      </w:r>
      <w:r>
        <w:rPr>
          <w:rFonts w:hint="eastAsia" w:eastAsia="宋体"/>
        </w:rPr>
        <w:t>对自己班的学生完成班级评议打分</w:t>
      </w:r>
      <w:r>
        <w:rPr>
          <w:rFonts w:hint="eastAsia"/>
        </w:rPr>
        <w:t xml:space="preserve"> </w:t>
      </w:r>
    </w:p>
    <w:p w14:paraId="475C0A9A">
      <w:r>
        <w:rPr>
          <w:rFonts w:hint="eastAsia"/>
        </w:rPr>
        <w:t>登陆 htt</w:t>
      </w:r>
      <w:r>
        <w:t>p:// xgxt.scau.edu.cn/zhcp</w:t>
      </w:r>
      <w:r>
        <w:rPr>
          <w:rFonts w:hint="eastAsia"/>
        </w:rPr>
        <w:t>（综合测评能模块） 操作如下图所示：</w:t>
      </w:r>
    </w:p>
    <w:p w14:paraId="1CE6DD34">
      <w:r>
        <w:drawing>
          <wp:inline distT="0" distB="0" distL="114300" distR="114300">
            <wp:extent cx="5269230" cy="2432050"/>
            <wp:effectExtent l="0" t="0" r="3810" b="6350"/>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11"/>
                    <a:stretch>
                      <a:fillRect/>
                    </a:stretch>
                  </pic:blipFill>
                  <pic:spPr>
                    <a:xfrm>
                      <a:off x="0" y="0"/>
                      <a:ext cx="5269230" cy="2432050"/>
                    </a:xfrm>
                    <a:prstGeom prst="rect">
                      <a:avLst/>
                    </a:prstGeom>
                    <a:noFill/>
                    <a:ln>
                      <a:noFill/>
                    </a:ln>
                  </pic:spPr>
                </pic:pic>
              </a:graphicData>
            </a:graphic>
          </wp:inline>
        </w:drawing>
      </w:r>
    </w:p>
    <w:p w14:paraId="66F42E1D"/>
    <w:p w14:paraId="0D31223B">
      <w:r>
        <w:drawing>
          <wp:inline distT="0" distB="0" distL="114300" distR="114300">
            <wp:extent cx="5267960" cy="2700020"/>
            <wp:effectExtent l="0" t="0" r="5080" b="1270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2"/>
                    <a:stretch>
                      <a:fillRect/>
                    </a:stretch>
                  </pic:blipFill>
                  <pic:spPr>
                    <a:xfrm>
                      <a:off x="0" y="0"/>
                      <a:ext cx="5267960" cy="2700020"/>
                    </a:xfrm>
                    <a:prstGeom prst="rect">
                      <a:avLst/>
                    </a:prstGeom>
                    <a:noFill/>
                    <a:ln>
                      <a:noFill/>
                    </a:ln>
                  </pic:spPr>
                </pic:pic>
              </a:graphicData>
            </a:graphic>
          </wp:inline>
        </w:drawing>
      </w:r>
    </w:p>
    <w:p w14:paraId="380566D0">
      <w:r>
        <w:drawing>
          <wp:inline distT="0" distB="0" distL="114300" distR="114300">
            <wp:extent cx="5266690" cy="2800985"/>
            <wp:effectExtent l="0" t="0" r="10160" b="184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stretch>
                      <a:fillRect/>
                    </a:stretch>
                  </pic:blipFill>
                  <pic:spPr>
                    <a:xfrm>
                      <a:off x="0" y="0"/>
                      <a:ext cx="5266690" cy="2800985"/>
                    </a:xfrm>
                    <a:prstGeom prst="rect">
                      <a:avLst/>
                    </a:prstGeom>
                    <a:noFill/>
                    <a:ln>
                      <a:noFill/>
                    </a:ln>
                  </pic:spPr>
                </pic:pic>
              </a:graphicData>
            </a:graphic>
          </wp:inline>
        </w:drawing>
      </w:r>
    </w:p>
    <w:p w14:paraId="4D622171">
      <w:pPr>
        <w:pStyle w:val="3"/>
        <w:numPr>
          <w:ilvl w:val="0"/>
          <w:numId w:val="2"/>
        </w:numPr>
      </w:pPr>
      <w:r>
        <w:rPr>
          <w:rFonts w:hint="eastAsia"/>
        </w:rPr>
        <w:t>统一提交给年级辅导员审阅</w:t>
      </w:r>
    </w:p>
    <w:p w14:paraId="218DDC04">
      <w:r>
        <w:rPr>
          <w:rFonts w:hint="eastAsia"/>
        </w:rPr>
        <w:t>待班级学生均完成互评、自评，班主任也打完了班级评议分，那么就可以把整个班级结果提交给年级辅导员审阅了（“班级评议分计算”功能依赖于“统一提交”了才能计算班级评议分数，“学生自评分数计算”依赖于班级所有学生都提交了自评分数） 如下图所示：</w:t>
      </w:r>
    </w:p>
    <w:p w14:paraId="7435A1FF">
      <w:r>
        <w:drawing>
          <wp:inline distT="0" distB="0" distL="114300" distR="114300">
            <wp:extent cx="5267960" cy="2812415"/>
            <wp:effectExtent l="0" t="0" r="5080" b="6985"/>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4"/>
                    <a:stretch>
                      <a:fillRect/>
                    </a:stretch>
                  </pic:blipFill>
                  <pic:spPr>
                    <a:xfrm>
                      <a:off x="0" y="0"/>
                      <a:ext cx="5267960" cy="2812415"/>
                    </a:xfrm>
                    <a:prstGeom prst="rect">
                      <a:avLst/>
                    </a:prstGeom>
                    <a:noFill/>
                    <a:ln>
                      <a:noFill/>
                    </a:ln>
                  </pic:spPr>
                </pic:pic>
              </a:graphicData>
            </a:graphic>
          </wp:inline>
        </w:drawing>
      </w:r>
    </w:p>
    <w:p w14:paraId="59557732">
      <w:r>
        <w:rPr>
          <w:rFonts w:hint="eastAsia"/>
        </w:rPr>
        <w:t>提交给年级辅导员后，页面数据状态会变成“已提交” 如下图所示：</w:t>
      </w:r>
    </w:p>
    <w:p w14:paraId="4D7A2C26">
      <w:r>
        <w:drawing>
          <wp:inline distT="0" distB="0" distL="114300" distR="114300">
            <wp:extent cx="5270500" cy="2811145"/>
            <wp:effectExtent l="0" t="0" r="2540" b="8255"/>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5"/>
                    <a:stretch>
                      <a:fillRect/>
                    </a:stretch>
                  </pic:blipFill>
                  <pic:spPr>
                    <a:xfrm>
                      <a:off x="0" y="0"/>
                      <a:ext cx="5270500" cy="2811145"/>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3D749F0"/>
    <w:multiLevelType w:val="singleLevel"/>
    <w:tmpl w:val="13D749F0"/>
    <w:lvl w:ilvl="0" w:tentative="0">
      <w:start w:val="4"/>
      <w:numFmt w:val="chineseCounting"/>
      <w:suff w:val="nothing"/>
      <w:lvlText w:val="%1、"/>
      <w:lvlJc w:val="left"/>
      <w:rPr>
        <w:rFonts w:hint="eastAsia"/>
      </w:rPr>
    </w:lvl>
  </w:abstractNum>
  <w:abstractNum w:abstractNumId="1">
    <w:nsid w:val="407496F4"/>
    <w:multiLevelType w:val="singleLevel"/>
    <w:tmpl w:val="407496F4"/>
    <w:lvl w:ilvl="0" w:tentative="0">
      <w:start w:val="1"/>
      <w:numFmt w:val="decimal"/>
      <w:suff w:val="space"/>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4B27"/>
    <w:rsid w:val="00077C80"/>
    <w:rsid w:val="00382EFF"/>
    <w:rsid w:val="00506AB5"/>
    <w:rsid w:val="005E6B20"/>
    <w:rsid w:val="0068026C"/>
    <w:rsid w:val="00695119"/>
    <w:rsid w:val="006A2FF9"/>
    <w:rsid w:val="00884B27"/>
    <w:rsid w:val="0093213D"/>
    <w:rsid w:val="00AA569F"/>
    <w:rsid w:val="00BC7C4F"/>
    <w:rsid w:val="00CB6009"/>
    <w:rsid w:val="00E624E5"/>
    <w:rsid w:val="00FA22C5"/>
    <w:rsid w:val="0116186E"/>
    <w:rsid w:val="09140509"/>
    <w:rsid w:val="0C327102"/>
    <w:rsid w:val="0EC6407E"/>
    <w:rsid w:val="1039283D"/>
    <w:rsid w:val="16594858"/>
    <w:rsid w:val="1B6434EF"/>
    <w:rsid w:val="1C6D2628"/>
    <w:rsid w:val="1D6F73F9"/>
    <w:rsid w:val="22124A47"/>
    <w:rsid w:val="24D15927"/>
    <w:rsid w:val="24EB2C3A"/>
    <w:rsid w:val="279F59DC"/>
    <w:rsid w:val="2B383F02"/>
    <w:rsid w:val="30B31FBA"/>
    <w:rsid w:val="31676175"/>
    <w:rsid w:val="32E11E6A"/>
    <w:rsid w:val="33371B27"/>
    <w:rsid w:val="34DC64C4"/>
    <w:rsid w:val="360F01F7"/>
    <w:rsid w:val="3CEB0A50"/>
    <w:rsid w:val="3F9E2A4A"/>
    <w:rsid w:val="507075DB"/>
    <w:rsid w:val="5B44399E"/>
    <w:rsid w:val="61AD4AB0"/>
    <w:rsid w:val="63A86950"/>
    <w:rsid w:val="65FE4F72"/>
    <w:rsid w:val="7128056B"/>
    <w:rsid w:val="73F279B9"/>
    <w:rsid w:val="78570945"/>
    <w:rsid w:val="79326537"/>
    <w:rsid w:val="797A167A"/>
    <w:rsid w:val="7BC22224"/>
    <w:rsid w:val="7FD74ADF"/>
    <w:rsid w:val="7FFF8F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1"/>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2"/>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7">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4">
    <w:name w:val="footer"/>
    <w:basedOn w:val="1"/>
    <w:link w:val="10"/>
    <w:unhideWhenUsed/>
    <w:qFormat/>
    <w:uiPriority w:val="99"/>
    <w:pPr>
      <w:tabs>
        <w:tab w:val="center" w:pos="4153"/>
        <w:tab w:val="right" w:pos="8306"/>
      </w:tabs>
      <w:snapToGrid w:val="0"/>
      <w:jc w:val="left"/>
    </w:pPr>
    <w:rPr>
      <w:sz w:val="18"/>
      <w:szCs w:val="18"/>
    </w:rPr>
  </w:style>
  <w:style w:type="paragraph" w:styleId="5">
    <w:name w:val="header"/>
    <w:basedOn w:val="1"/>
    <w:link w:val="9"/>
    <w:unhideWhenUsed/>
    <w:qFormat/>
    <w:uiPriority w:val="99"/>
    <w:pPr>
      <w:pBdr>
        <w:bottom w:val="single" w:color="auto" w:sz="6" w:space="1"/>
      </w:pBdr>
      <w:tabs>
        <w:tab w:val="center" w:pos="4153"/>
        <w:tab w:val="right" w:pos="8306"/>
      </w:tabs>
      <w:snapToGrid w:val="0"/>
      <w:jc w:val="center"/>
    </w:pPr>
    <w:rPr>
      <w:sz w:val="18"/>
      <w:szCs w:val="18"/>
    </w:rPr>
  </w:style>
  <w:style w:type="character" w:styleId="8">
    <w:name w:val="Hyperlink"/>
    <w:basedOn w:val="7"/>
    <w:unhideWhenUsed/>
    <w:qFormat/>
    <w:uiPriority w:val="99"/>
    <w:rPr>
      <w:color w:val="0563C1" w:themeColor="hyperlink"/>
      <w:u w:val="single"/>
      <w14:textFill>
        <w14:solidFill>
          <w14:schemeClr w14:val="hlink"/>
        </w14:solidFill>
      </w14:textFill>
    </w:rPr>
  </w:style>
  <w:style w:type="character" w:customStyle="1" w:styleId="9">
    <w:name w:val="页眉 字符"/>
    <w:basedOn w:val="7"/>
    <w:link w:val="5"/>
    <w:qFormat/>
    <w:uiPriority w:val="99"/>
    <w:rPr>
      <w:sz w:val="18"/>
      <w:szCs w:val="18"/>
    </w:rPr>
  </w:style>
  <w:style w:type="character" w:customStyle="1" w:styleId="10">
    <w:name w:val="页脚 字符"/>
    <w:basedOn w:val="7"/>
    <w:link w:val="4"/>
    <w:qFormat/>
    <w:uiPriority w:val="99"/>
    <w:rPr>
      <w:sz w:val="18"/>
      <w:szCs w:val="18"/>
    </w:rPr>
  </w:style>
  <w:style w:type="character" w:customStyle="1" w:styleId="11">
    <w:name w:val="标题 1 字符"/>
    <w:basedOn w:val="7"/>
    <w:link w:val="2"/>
    <w:qFormat/>
    <w:uiPriority w:val="9"/>
    <w:rPr>
      <w:b/>
      <w:bCs/>
      <w:kern w:val="44"/>
      <w:sz w:val="44"/>
      <w:szCs w:val="44"/>
    </w:rPr>
  </w:style>
  <w:style w:type="character" w:customStyle="1" w:styleId="12">
    <w:name w:val="标题 2 字符"/>
    <w:basedOn w:val="7"/>
    <w:link w:val="3"/>
    <w:qFormat/>
    <w:uiPriority w:val="9"/>
    <w:rPr>
      <w:rFonts w:asciiTheme="majorHAnsi" w:hAnsiTheme="majorHAnsi" w:eastAsiaTheme="majorEastAsia" w:cstheme="majorBidi"/>
      <w:b/>
      <w:bCs/>
      <w:sz w:val="32"/>
      <w:szCs w:val="32"/>
    </w:rPr>
  </w:style>
  <w:style w:type="character" w:customStyle="1" w:styleId="13">
    <w:name w:val="未处理的提及1"/>
    <w:basedOn w:val="7"/>
    <w:semiHidden/>
    <w:unhideWhenUsed/>
    <w:qFormat/>
    <w:uiPriority w:val="99"/>
    <w:rPr>
      <w:color w:val="605E5C"/>
      <w:shd w:val="clear" w:color="auto" w:fill="E1DFDD"/>
    </w:rPr>
  </w:style>
  <w:style w:type="character" w:customStyle="1" w:styleId="14">
    <w:name w:val="Unresolved Mention"/>
    <w:basedOn w:val="7"/>
    <w:semiHidden/>
    <w:unhideWhenUsed/>
    <w:qFormat/>
    <w:uiPriority w:val="99"/>
    <w:rPr>
      <w:color w:val="605E5C"/>
      <w:shd w:val="clear" w:color="auto" w:fill="E1DFDD"/>
    </w:rPr>
  </w:style>
  <w:style w:type="paragraph" w:styleId="15">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6</Pages>
  <Words>548</Words>
  <Characters>680</Characters>
  <Lines>5</Lines>
  <Paragraphs>1</Paragraphs>
  <TotalTime>23</TotalTime>
  <ScaleCrop>false</ScaleCrop>
  <LinksUpToDate>false</LinksUpToDate>
  <CharactersWithSpaces>693</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2020-03-23T14:33:00Z</dcterms:created>
  <dc:creator>李少娟</dc:creator>
  <cp:lastModifiedBy>Iris.</cp:lastModifiedBy>
  <dcterms:modified xsi:type="dcterms:W3CDTF">2025-03-18T02:40:00Z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FCDD5060DF681EF46D6BF864A3E7B4FD_43</vt:lpwstr>
  </property>
  <property fmtid="{D5CDD505-2E9C-101B-9397-08002B2CF9AE}" pid="4" name="KSOTemplateDocerSaveRecord">
    <vt:lpwstr>eyJoZGlkIjoiMGZiMzg5NzM5YjkzYjgyZmEzMmNhY2U5MmMwZWY3YTAiLCJ1c2VySWQiOiI0MzkxNzI0MDkifQ==</vt:lpwstr>
  </property>
</Properties>
</file>